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vertAnchor="text" w:horzAnchor="margin" w:tblpXSpec="right" w:leftFromText="180" w:rightFromText="180" w:tblpY="-178"/>
        <w:tblW w:w="583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832"/>
      </w:tblGrid>
      <w:tr>
        <w:trPr>
          <w:trHeight w:val="425" w:hRule="atLeast"/>
        </w:trPr>
        <w:tc>
          <w:tcPr>
            <w:tcW w:w="5832" w:type="dxa"/>
            <w:tcBorders/>
            <w:shd w:color="auto" w:fill="auto" w:val="clear"/>
          </w:tcPr>
          <w:p>
            <w:pPr>
              <w:pStyle w:val="1"/>
              <w:jc w:val="center"/>
              <w:rPr/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>
        <w:trPr>
          <w:trHeight w:val="4878" w:hRule="atLeast"/>
        </w:trPr>
        <w:tc>
          <w:tcPr>
            <w:tcW w:w="5832" w:type="dxa"/>
            <w:tcBorders/>
            <w:shd w:color="auto" w:fill="auto" w:val="clear"/>
          </w:tcPr>
          <w:tbl>
            <w:tblPr>
              <w:tblpPr w:vertAnchor="text" w:horzAnchor="margin" w:tblpXSpec="right" w:leftFromText="180" w:rightFromText="180" w:tblpY="-178"/>
              <w:tblW w:w="5616" w:type="dxa"/>
              <w:jc w:val="righ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5616"/>
            </w:tblGrid>
            <w:tr>
              <w:trPr>
                <w:trHeight w:val="4878" w:hRule="atLeast"/>
              </w:trPr>
              <w:tc>
                <w:tcPr>
                  <w:tcW w:w="561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 xml:space="preserve">к извещению о проведении конкурса на  право заключения договора пользования рыболовным участком 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катадромных и трансграничных видов рыб) утвержденной приказом агентства по рыболовству Приморского края 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мая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2021</w:t>
                  </w:r>
                  <w:r>
                    <w:rPr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45</w:t>
                  </w:r>
                </w:p>
              </w:tc>
            </w:tr>
          </w:tbl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ПЕРЕЧЕНЬ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</w:rPr>
        <w:t>рыболовных</w:t>
      </w:r>
      <w:r>
        <w:rPr>
          <w:sz w:val="28"/>
          <w:szCs w:val="28"/>
        </w:rPr>
        <w:t xml:space="preserve"> участков, в отношении которых проводится конкурс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катадромных и трансграничных видов рыб)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563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78"/>
        <w:gridCol w:w="2193"/>
        <w:gridCol w:w="1635"/>
        <w:gridCol w:w="3625"/>
        <w:gridCol w:w="1842"/>
        <w:gridCol w:w="2552"/>
        <w:gridCol w:w="1277"/>
        <w:gridCol w:w="559"/>
      </w:tblGrid>
      <w:tr>
        <w:trPr>
          <w:trHeight w:val="248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3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лота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</w:p>
          <w:p>
            <w:pPr>
              <w:pStyle w:val="Normal"/>
              <w:ind w:left="-113" w:right="-108" w:hanging="0"/>
              <w:jc w:val="center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рыболовног о</w:t>
            </w:r>
          </w:p>
          <w:p>
            <w:pPr>
              <w:pStyle w:val="Normal"/>
              <w:ind w:left="-113" w:right="-108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участка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РЛУ</w:t>
            </w:r>
            <w:r>
              <w:rPr>
                <w:b/>
                <w:bCs/>
                <w:sz w:val="22"/>
                <w:szCs w:val="22"/>
              </w:rPr>
              <w:t>) *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Наименование водного объекта, на котором расположен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РЛУ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 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границы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рыболовного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Доля </w:t>
            </w:r>
            <w:r>
              <w:rPr>
                <w:rFonts w:eastAsia="Times New Roman"/>
                <w:b/>
                <w:sz w:val="22"/>
                <w:szCs w:val="22"/>
              </w:rPr>
              <w:t>РЛУ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в общем количестве либо суммарной площади </w:t>
            </w:r>
            <w:r>
              <w:rPr>
                <w:rFonts w:eastAsia="Times New Roman"/>
                <w:b/>
                <w:sz w:val="22"/>
                <w:szCs w:val="22"/>
              </w:rPr>
              <w:t>РЛУ</w:t>
            </w:r>
            <w:r>
              <w:rPr>
                <w:b/>
                <w:sz w:val="22"/>
                <w:szCs w:val="22"/>
              </w:rPr>
              <w:t xml:space="preserve"> расположенных на территории муниципального образования или прилегающих к территории,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видов водных биоресурсов, предлагаемых к промыслу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на </w:t>
            </w:r>
            <w:r>
              <w:rPr>
                <w:rFonts w:eastAsia="Times New Roman"/>
                <w:b/>
                <w:sz w:val="22"/>
                <w:szCs w:val="22"/>
              </w:rPr>
              <w:t>рыболовном</w:t>
            </w:r>
            <w:r>
              <w:rPr>
                <w:b/>
                <w:sz w:val="22"/>
                <w:szCs w:val="22"/>
              </w:rPr>
              <w:t xml:space="preserve"> участке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 лота,</w:t>
            </w:r>
          </w:p>
          <w:p>
            <w:pPr>
              <w:pStyle w:val="Normal"/>
              <w:ind w:left="-113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ind w:left="-113" w:right="-108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тыс. руб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33"/>
        <w:gridCol w:w="2245"/>
        <w:gridCol w:w="1782"/>
        <w:gridCol w:w="3819"/>
        <w:gridCol w:w="1897"/>
        <w:gridCol w:w="2522"/>
        <w:gridCol w:w="8"/>
        <w:gridCol w:w="1256"/>
        <w:gridCol w:w="6"/>
        <w:gridCol w:w="557"/>
        <w:gridCol w:w="6"/>
        <w:gridCol w:w="7"/>
      </w:tblGrid>
      <w:tr>
        <w:trPr>
          <w:tblHeader w:val="true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7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rFonts w:eastAsia="Times New Roman"/>
                <w:b/>
                <w:sz w:val="23"/>
                <w:szCs w:val="23"/>
              </w:rPr>
              <w:t>Рыболовные</w:t>
            </w:r>
            <w:r>
              <w:rPr>
                <w:b/>
                <w:sz w:val="23"/>
                <w:szCs w:val="23"/>
              </w:rPr>
              <w:t xml:space="preserve"> участки Пожарского муниципального района</w:t>
            </w:r>
          </w:p>
        </w:tc>
      </w:tr>
      <w:tr>
        <w:trPr>
          <w:trHeight w:val="9078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РЛУ № 14-Пж (пр)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расположен в пределах русла залива Касатка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ограничен линиями, проходящими из точки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(46 град. 22 мин. 15,97 сек. с.ш. / 133 град 55 мин. 35,95 сек в.д.) по береговой линии в точку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(46 град. 21 мин. 45,18 сек. с.ш. / 133 град. 55 мин. 00,81 сек. в.д.), далее по береговой линии в точку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(46 град. 21 мин. 52,27 сек. с.ш. / 133 град. 54 мин. 52,01 сек. в.д.), далее по береговой линии в точку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(46 град. 22 мин. 15,62 сек. с.ш. / 133 град. 55 мин. 32,86 сек. в.д.), далее по прямой линии в точку А. 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РЛУ – 1231 м.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РЛУ – 7,32 га.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7,14/1,88%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3"/>
                <w:szCs w:val="23"/>
              </w:rPr>
              <w:t>Виды водных биоресурсов, в соответствии с перечнем видов водных биологических ресурсов, общий допустимый улов которых не устанавливаете, и перечнем видов водных биологических ресурсов, в отношении которых устанавливается общий допустимый улов, утверждаемых приказом федерального органа исполнительной власти в области рыболовства на год осуществления рыболовства, за исключением анадромных, катадромных и трансграничных видов рыб</w:t>
            </w:r>
          </w:p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3"/>
                <w:szCs w:val="23"/>
              </w:rPr>
              <w:t>0,45852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5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РЛУ № 15-Пж (пр)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расположен в пределах русла протоки Сиянка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 линиями, проходящими из точки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(46 град. 17 мин. 40,08 сек. с.ш. / 133 град. 54 мин. 06,55 сек. в.д.) по прямой линии в точку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(46 град. 17 мин. 37,37 сек. с.ш. / 133 град. 54 мин. 06,72 сек. в.д.), далее по береговой линии в точку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(46 град. 17 мин. 25,73 сек. с.ш. / 133 град. 54 мин. 12,16 сек. в.д.), далее по прямой линии в точку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 (46 град. 17 мин. 25,25 сек. с.ш. / 133 град. 54 мин. 12,54 сек. в.д.), далее по береговой линии в точку А.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Длина РЛУ – 1948 м. </w:t>
            </w:r>
          </w:p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Площадь РЛУ – 4,04 га.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7,14/1,04%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водных биоресурсов, в соответствии с перечнем видов водных биологических ресурсов, общий допустимый улов которых не устанавливаете, и перечнем видов водных биологических ресурсов, в отношении которых устанавливается общий допустимый улов, утверждаемых приказом федерального органа исполнительной власти в области рыболовства на год осуществления рыболовства, за исключением анадромных, катадромных и трансграничных видов рыб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0,25307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4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РЛУ № 16-Пж (пр)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расположен в пределах русла протоки Большая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 линиями, проходящими из точки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(46 град. 10,8996 мин. с.ш. / </w:t>
              <w:br/>
              <w:t xml:space="preserve">133 град. 51,7738 мин. в.д.)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прямой линии в точку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(46 град. 10,9103 мин. с.ш. / </w:t>
              <w:br/>
              <w:t xml:space="preserve">133 град. 51,7715 мин. в.д.),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далее по береговой линии в точку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(46 град. 12,1723 мин. с.ш. / </w:t>
              <w:br/>
              <w:t xml:space="preserve">133 град. 52,5471 мин. в.д.),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далее по прямой линии в точку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(46 град. 12,1521 мин. с.ш. / </w:t>
              <w:br/>
              <w:t xml:space="preserve">133 град. 52,5723 мин. в.д.), 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далее по береговой линии в точку А.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 РЛУ – 2636 м.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Площадь РЛУ – 11,7 га.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7,14/3,01%</w:t>
            </w:r>
          </w:p>
        </w:tc>
        <w:tc>
          <w:tcPr>
            <w:tcW w:w="25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0,73289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РЛУ № 17-Пж (пр)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участок расположен в пределах русла протоки Быстрая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ограничен линиями, проходящими из точки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A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10,8568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133 град. 49,8283 мин. в.д.)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по береговой линии в точку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B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10,8868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52,1938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прямой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C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10,8753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52,1988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береговой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D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10,3818 мин. с.ш. /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51,5961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прямой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10,3775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133 град. 51,5801 мин. в.д.),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>далее по береговой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F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10,8330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49,8170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прямой линии в точку А.</w:t>
            </w:r>
          </w:p>
          <w:p>
            <w:pPr>
              <w:pStyle w:val="Normal"/>
              <w:spacing w:lineRule="auto" w:line="252"/>
              <w:jc w:val="center"/>
              <w:rPr/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Длина РЛУ – 3927,3 м.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Площадь РЛУ – 11,99 га.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7,14/3,08%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водных биоресурсов, в соответствии с перечнем видов водных биологических ресурсов, общий допустимый улов которых не устанавливаете, и перечнем видов водных биологических ресурсов, в отношении которых устанавливается общий допустимый улов, утверждаемых приказом федерального органа исполнительной власти в области рыболовства на год осуществления рыболовства, за исключением анадромных, катадромных и трансграничных видов рыб</w:t>
            </w:r>
          </w:p>
          <w:p>
            <w:pPr>
              <w:pStyle w:val="Normal"/>
              <w:ind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0,75105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0" w:hRule="atLeast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РЛУ № 18-Пж (пр)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участок расположен в пределах русла залива Тартышевский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ограничен линиями, проходящими из точки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A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10,6730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50,5786 мин. в.д.)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по прямой линии в точку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B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10,7100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50,7035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береговой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C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10,6911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51,5690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прямой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D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10,5028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51,5543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береговой линии в точку А.</w:t>
            </w:r>
          </w:p>
          <w:p>
            <w:pPr>
              <w:pStyle w:val="Normal"/>
              <w:spacing w:lineRule="auto" w:line="252"/>
              <w:jc w:val="center"/>
              <w:rPr/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Длина РЛУ – 1360,4 м. </w:t>
            </w:r>
          </w:p>
          <w:p>
            <w:pPr>
              <w:pStyle w:val="Normal"/>
              <w:spacing w:lineRule="auto" w:line="252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Площадь РЛУ – 56,65 га.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7,14/14,55%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водных биоресурсов, в соответствии с перечнем видов водных биологических ресурсов, общий допустимый улов которых не устанавливаете, и перечнем видов водных биологических ресурсов, в отношении которых устанавливается общий допустимый улов, утверждаемых приказом федерального органа исполнительной власти в области рыболовства на год осуществления рыболовства, за исключением анадромных, катадромных и трансграничных видов рыб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3,54856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РЛУ № 19-Пж (пр)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участок расположен в пределах русла реки Уссури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ограничен линиями, проходящими из точки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A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 15,7311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55,0233 мин. в.д.)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по прямой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B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15,7823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55,0716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прямой линии в точку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val="en-US" w:eastAsia="en-US"/>
              </w:rPr>
              <w:t>C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(46 град. 15,7718 мин. с.ш. /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133 град. 55,1190 мин. в.д.), </w:t>
            </w:r>
          </w:p>
          <w:p>
            <w:pPr>
              <w:pStyle w:val="Normal"/>
              <w:spacing w:lineRule="auto" w:line="252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далее по береговой линии в точку А.</w:t>
            </w:r>
          </w:p>
          <w:p>
            <w:pPr>
              <w:pStyle w:val="Normal"/>
              <w:spacing w:lineRule="auto" w:line="252"/>
              <w:jc w:val="center"/>
              <w:rPr/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Длина РЛУ – 872,17 м. </w:t>
            </w:r>
          </w:p>
          <w:p>
            <w:pPr>
              <w:pStyle w:val="Normal"/>
              <w:spacing w:lineRule="auto" w:line="252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Площадь РЛУ – 3,99 га.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7,14/1,02</w:t>
            </w:r>
            <w:bookmarkStart w:id="0" w:name="_GoBack"/>
            <w:bookmarkEnd w:id="0"/>
          </w:p>
        </w:tc>
        <w:tc>
          <w:tcPr>
            <w:tcW w:w="25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0,24993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0"/>
        <w:jc w:val="both"/>
        <w:rPr/>
      </w:pPr>
      <w:r>
        <w:rPr>
          <w:b/>
          <w:sz w:val="28"/>
          <w:szCs w:val="28"/>
        </w:rPr>
        <w:t xml:space="preserve">Примечание: </w:t>
      </w:r>
    </w:p>
    <w:p>
      <w:pPr>
        <w:pStyle w:val="Normal"/>
        <w:jc w:val="both"/>
        <w:rPr/>
      </w:pPr>
      <w:r>
        <w:rPr>
          <w:sz w:val="28"/>
          <w:sz w:val="28"/>
          <w:szCs w:val="28"/>
          <w:rtl w:val="true"/>
        </w:rPr>
        <w:t>٭</w:t>
      </w:r>
      <w:r>
        <w:rPr>
          <w:sz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- ограничения, связанные с </w:t>
      </w:r>
      <w:r>
        <w:rPr>
          <w:bCs/>
          <w:sz w:val="28"/>
          <w:szCs w:val="28"/>
        </w:rPr>
        <w:t xml:space="preserve">добычей (выловом) водных биоресурсов и иные условия их добычи (вылова) в пресноводных водных объектах Приморского края устанавливаются </w:t>
      </w:r>
      <w:r>
        <w:rPr>
          <w:sz w:val="28"/>
          <w:szCs w:val="28"/>
        </w:rPr>
        <w:t xml:space="preserve">приказом Минсельхоза России  от 23.05.2019 № 267 </w:t>
        <w:br/>
        <w:t>«Об утверждении Правил рыболовства для Дальневосточного рыбохозяйственного бассейна».</w:t>
      </w:r>
    </w:p>
    <w:sectPr>
      <w:type w:val="nextPage"/>
      <w:pgSz w:orient="landscape" w:w="16838" w:h="11906"/>
      <w:pgMar w:left="1247" w:right="851" w:header="0" w:top="539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4"/>
  <w:defaultTabStop w:val="720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12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f53af"/>
    <w:rPr/>
  </w:style>
  <w:style w:type="character" w:styleId="Style14" w:customStyle="1">
    <w:name w:val="Нижний колонтитул Знак"/>
    <w:link w:val="a7"/>
    <w:qFormat/>
    <w:rsid w:val="00174ca5"/>
    <w:rPr>
      <w:rFonts w:eastAsia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" w:customStyle="1">
    <w:name w:val="Обычный1"/>
    <w:qFormat/>
    <w:rsid w:val="008512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6f53a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e3e36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link w:val="a8"/>
    <w:rsid w:val="00174ca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d4e8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545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3A44-132E-4AE8-8FD6-D681CA05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LibreOffice/6.3.5.2$Linux_X86_64 LibreOffice_project/30$Build-2</Application>
  <Pages>5</Pages>
  <Words>1079</Words>
  <Characters>5781</Characters>
  <CharactersWithSpaces>6869</CharactersWithSpaces>
  <Paragraphs>152</Paragraphs>
  <Company>КонсультантПлюс Версия 4020.00.33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2020-11-12T15:50:00Z</dcterms:created>
  <dc:creator>.</dc:creator>
  <dc:description/>
  <dc:language>ru-RU</dc:language>
  <cp:lastModifiedBy>Павел Борисович Куликов</cp:lastModifiedBy>
  <cp:lastPrinted>2016-05-05T08:06:00Z</cp:lastPrinted>
  <dcterms:modified xsi:type="dcterms:W3CDTF">2021-05-27T11:57:05Z</dcterms:modified>
  <cp:revision>9</cp:revision>
  <dc:subject/>
  <dc:title>Приказ Минсельхоза России от 23.05.2019 N 267(ред. от 20.07.2020)"Об утверждении правил рыболовства для Дальневосточного рыбохозяйственного бассейна"(Зарегистрировано в Минюсте России 05.06.2019 N 54842)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